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167</w:t>
      </w:r>
    </w:p>
    <w:p>
      <w:r>
        <w:t>Bundesgericht (BGE), 1968-09-24, DE</w:t>
      </w:r>
    </w:p>
    <w:p>
      <w:r>
        <w:rPr>
          <w:b/>
        </w:rPr>
        <w:t xml:space="preserve">Quelle: </w:t>
      </w:r>
      <w:r>
        <w:t>https://mcp.opencaselaw.ch/entscheid/bge_94 II 167</w:t>
      </w:r>
    </w:p>
    <w:p>
      <w:r>
        <w:t>FR: ATF 94 II 167</w:t>
      </w:r>
    </w:p>
    <w:p>
      <w:r>
        <w:t>IT: DTF 94 II 167</w:t>
      </w:r>
    </w:p>
    <w:p>
      <w:pPr>
        <w:pStyle w:val="Heading2"/>
      </w:pPr>
      <w:r>
        <w:t>Regeste</w:t>
      </w:r>
    </w:p>
    <w:p>
      <w:r>
        <w:t>Regeste Das gemeinschaftliche Depot und Konto unterliegt grundsätzlich den Vorschriften über den Auftrag (Erw. 2). Aktive Solidarität der Auftraggeber (Erw. 3). Die internen Beziehungen der Auftraggeber schliessen die Vererblichkeit der solidarischen Berechtigung nicht aus (Erw. 4).</w:t>
      </w:r>
    </w:p>
    <w:p>
      <w:pPr>
        <w:pStyle w:val="Heading2"/>
      </w:pPr>
      <w:r>
        <w:t>Erwägungen</w:t>
      </w:r>
    </w:p>
    <w:p>
      <w:r>
        <w:rPr>
          <w:b/>
        </w:rPr>
        <w:t>E. 1</w:t>
      </w:r>
    </w:p>
    <w:p>
      <w:r>
        <w:t>Auf das streitige Rechtsverhältnis ist schweizerisches Recht anzuwenden. Dieses wird in den Allgemeinen Geschäftsbedingungen und dem Depotreglement der Eidgenössischen Bank, welche Bestandteil des Vertrages sind (Ziff. 6), ausdrücklich als massgebend erklärt. Die Parteien und die Vorinstanz haben sich somit zu Recht auf schweizerisches Recht berufen.</w:t>
      </w:r>
    </w:p>
    <w:p>
      <w:r>
        <w:rPr>
          <w:b/>
        </w:rPr>
        <w:t>E. 2</w:t>
      </w:r>
    </w:p>
    <w:p>
      <w:r>
        <w:t>Der streitigen Vereinbarung liegt ein gemeinschaftliches (offenes) Wertschriftendepot und Konto zugrunde. Die Beklagte verpflichtet sich als Rechtsnachfolgerin der Eidgenössischen Bank, die Gelderträgnisse aus den verwahrten Titeln, wie Zinsen und Dividenden, sowie den Gegenwert aus allfälligen Verkäufen ohne anderslautende Anordnung auflaufende Rechnung dem gemeinsamen Konto gutzuschreiben (Ziff. 5). Zweck des Vertrages war somit nicht nur die Verwahrung der hinterlegten Titeln an einem sichern Ort ( Art. 472 OR ), sondern auch ihre Verwaltung durch die Bank. Das Rechtsverhältnis ist somit als Verbindung von Hinterlegungsvertrag und Auftrag, d.h. als gemischter Vertrag zu verstehen. Dabei liegt der Schwerpunkt auf den Dienstleistungen der Bank (vgl. BGE 63 II 242 , BGE 78 II 254 , GAUTSCHI, N. 8 c und 37 zu Art. 400 OR , N. 3 c der Vorbemerkungen zu Art. 472 ff. OR ). Es sind daher grundsätzlich die Bestimmungen über den Auftrag ( Art. 394 ff. OR ) anzuwenden. BGE 94 II 167 S. 170</w:t>
      </w:r>
    </w:p>
    <w:p>
      <w:r>
        <w:rPr>
          <w:b/>
        </w:rPr>
        <w:t>E. 3</w:t>
      </w:r>
    </w:p>
    <w:p>
      <w:r>
        <w:t>Der Vertrag sieht vor, dass die Auftraggeber ("clients") der Bank im Sinne von Art. 143 - 150 OR solidarisch berechtigt und verpflichtet sind (Ziff. 2). Ziff. 3 bestimmt zudem ausdrücklich, dass jeder Auftraggeber selbständig und ohne Mitwirkung der andern Partner befugt ist, über das Depot zu verfügen. Unter den verschiedenen Auftraggebern besteht somit aktive Solidarität (vgl. OSER/SCHÖNENBERGER, N. 3 a zu Art. 150 OR ; BECKER, N 2 zu Art. 150 OR ; VON TUHR/SIEGWART, OR II S. 737; LAMBELET, Les compts-joints en Suisse, Diss. Genf 1917, S. 88 ff.; DE PREUX, Le contrat de dépôt ouvert de titres en banque, Diss. Freiburg 1946, S. 46; BRON, Le comptejoint en droit suisse, Diss. Lausanne 1959, S. 19; O. AEPPLI, Im Hinblick auf den Tod des Bankkunden abgeschlossene Depotverträge, SJZ 1948, S. 37). Damit haben die Vertragsparteien von der im Depotreglement der Eidgenössischen Bank vorgesehenen Möglichkeit Gebrauch gemacht, das Verfügungsrecht "bei einer Mehrzahl von Deponenten" durch besondere Vereinbarung zu ordnen, indem sie die sonst geltende gesamthänderische Berechtigung durch Begründung der Gläubigersolidarität ersetzten. Jeder Auftraggeber war daher berechtigt, sämtliche Ansprüche aus dem Vertragsverhältnis mit der Bank geltend zu machen, und es konnte sich die Beklagte durch Leistung an einen Auftraggeber zugleich von der Forderung der andern befreien ( Art. 150 Abs. 1 und 2 OR ).</w:t>
      </w:r>
    </w:p>
    <w:p>
      <w:r>
        <w:rPr>
          <w:b/>
        </w:rPr>
        <w:t>E. 4</w:t>
      </w:r>
    </w:p>
    <w:p>
      <w:r>
        <w:t>Die Beklagte wendet sich gegen die Auffassung der Vorinstanz, der Kläger sei kraft Erbrechts in die Rechte und Pflichten seiner verstorbenen Eltern aus dem Auftragsverhältnis mit der Beklagten eingetreten. Sie hält dafür, dass die Frage der Vererblichkeit der solidarischen Berechtigung nicht nach dem Vertrag mit der Beklagten (Aussenverhältnis), sondern nach den Rechtsbeziehungen zwischen den Auftraggebern (Innenverhältnis) zu beurteilen sei. Welcher Art auch immer das Innenverhältnis sei, setze der Vertrag mit der Bank auf seiten der Auftraggeber ein enges Vertrauensverhältnis voraus, das den Eintritt Dritter oder der Erben in die zwischen die Auftraggeber bestehende Rechtsgemeinschaft ausschliesse. Den Erben stehe daher nur ein Anspruch auf ihren Anteil am Liquidationsergebnis zu, der sich gegen die überlebenden Mitbeteiligten oder deren Rechtsnachfolger richte. a) Nach Art. 560 Abs. 2 ZGB gehen die Rechte und Pflichten des Erblassers, unter Vorbehalt der gesetzlichen Ausnahmen, BGE 94 II 167 S. 171 ohne weiteres auf die Erben über. Der Kläger hat somit alle Rechte seiner Eltern erlangt, soweit sie auf Grund des Auftragsrechtes den Tod der Auftraggeber überdauerten. Art. 405 Abs. 1 OR sieht vor, dass die Fortsetzung eines Auftragsverhältnisses mit den Erben eines verstorbenen Auftraggebers oder Beauftragten auch möglich ist, wenn es sich aus der Natur des Auftragsverhältnisses ergibt. Bei Bankgeschäften wird im allgemeinen angenommen, dass der Auftrag durch den Tod des Auftraggebers nicht erlischt, sondern mit den Erben als fortgesetzt gilt (vgl. OSER/SCHÖNENBERGER und BECKER, je N. 3 zu Art. 405 OR ). Dafür spricht im vorliegenden Fall der Umstand, dass die streitige Vereinbarung auch Tatbestandsmerkmale des Hinterlegungsvertrages, also eines Rechtsgeschäftes aufweist, das durch den Tod einer Partei von Gesetzes wegen nicht beendigt wird. Unbehelflich ist in diesem Zusammenhang der Hinweis der Beklagten aufBGE 78 II 452. Diesem Entscheid liegt die Erwägung zugrunde, dass mehrere durch einen Treuhandvertrag zu einer Gemeinschaft verbundene Fiduziare Gesamteigentümer des Treugutes seien. Dabei entspreche es dem Wesen des fiduziarischen Rechtsgeschäftes und daher auch dem mutmasslichen Parteiwillen, dass beim Tod eines Treuhänders dessen Rechte nicht auf die dem Fiduzianten häufig unbekannten Erben übergehen, sondern den Mitfiduziaren anwachsen. Zu einer Überprüfung dieser Auffassung besteht hier kein Anlass. Sie fällt schon deshalb nicht in Betracht, weil im vorliegenden Fall keine Anhaltspunkte dafür bestehen, dass das Rechtsverhältnis zwischen der Beklagten und ihren Auftraggebern durch die für das fiduziarische Rechtsgeschäft typische Vertrauensbeziehung gekennzeichnet ist. b) Der Einwand der Beklagten, die Fortsetzung des Auftrages mit dem Kläger sei wegen des besonderen Vertrauensverhältnisses zwischen den Auftraggebern ausgeschlossen, hält ebenfalls nicht stand. Die Vertragsparteien haben durch Vereinbarung der Gläubigersolidarität die Anspruchsberechtigung gegenüber der Beklagten vom Innenverhältnis zwischen den einzelnen Auftraggebern bewusst getrennt und nur vom Aussenverhältnis (Auftrag) abhängig gemacht. Bezeichnend für diese Regelung ist die verbindliche Feststellung der Vorinstanz, wonach die Beklagte über das Innenverhältnis ihrer Vertragspartner nicht aufgeklärt wurde und somit nicht wusste, ob sie BGE 94 II 167 S. 172 Mit- oder Gesamteigentümer der hinterlegten Werte waren, ob sie eine einfache Gesellschaft bildeten oder zueinander in einem Auftragsverhältnis standen. Die Beklagte hatte sich somit weder um die Beziehungen der Auftraggeber unter sich oder zu Dritten, noch um die Eigentumsverhältnisse an den hinterlegten Werten zu kümmern. Der Kläger trat daher ohne weiteres in die Rechtsstellung seiner verstorbenen Eltern ein. Er war befugt, den Auftrag jederzeit zu widerrufen und die hinterlegten Wertschriften samt Zuwachs zurückzufordern ( Art. 404 Abs. 1 und Art. 475 Abs. 1 OR ), von der Beklagten Rechenschaft über die Geschäftsführung zu verlangen und alles, was ihr infolge derselben aus irgendeinem Grund zugekommen ist, herauszuverlangen ( Art. 400 OR ). Ob damit die Ansprüche Dritter oder ihrer Rechtsnachfolger aufs Spiel gesetzt werden, berührt die Beklagte nicht. Es war den Vertragsparteien unbenommen, die Vererblichkeit der Rechte aus dem Auftragsverhältnis durch entsprechende Abrede zum voraus auszuschliessen und damit einer Rechtsgefährdung vorzubeugen. Die Zulässigkeit einer solchen Klausel ergibt sich aus der Vertragsfreiheit. Die Forderung eines jeden Solidargläubigers kann daher auch mit der auflösenden Bedingung verbunden werden, dass sie mit dem Tod eines Berechtigten erlischt (vgl. O. AEPPLI, a.a.O. mit Hinweisen).</w:t>
      </w:r>
    </w:p>
    <w:p>
      <w:r>
        <w:rPr>
          <w:b/>
        </w:rPr>
        <w:t>E. 5</w:t>
      </w:r>
    </w:p>
    <w:p>
      <w:r>
        <w:t>Die Beklagte hält in der Berufung an der Auffassung fest, sie habe "auf Wunsch eines Rechtsnachfolgers eines verstorbenen Deponenten intern eine provisorische Aufteilung des Gemeinschaftskontos vorgenommen" und dieses gesperrt, "bis alle Rechtsnachfolger der ursprünglichen Co-Deponenten der Teilung zugestimmt hätten". Die Beklagte hat diese Behauptung nach verbindlicher Feststellung der Vorinstanz nicht bewiesen. Sie wäre zudem ohnehin unerheblich, da sich die Beklagte dem Anspruch des Klägers nur dann mit Erfolg widersetzen könnte, wenn sie von einem andern Solidargläubiger (oder dessen Rechtsnachfolger) rechtlich belangt worden wäre ( Art. 150 Abs. 3 OR ). Das behauptet die Beklagte jedoch nicht.</w:t>
      </w:r>
    </w:p>
    <w:p>
      <w:r>
        <w:rPr>
          <w:b/>
        </w:rPr>
        <w:t>E. 6</w:t>
      </w:r>
    </w:p>
    <w:p>
      <w:r>
        <w:t>Die Beklagte rügt schliesslich die Auffassung der Vorinstanz, sie (die Beklagte) habe die ihr auferlegte Editionspflicht durch die Weigerung verletzt, die das Gemeinschaftsdepot betreffenden Akten dem Gericht offen einzureichen und damit dem Kläger von deren Inhalt Kenntnis zu geben. BGE 94 II 167 S. 173 Diese Beanstandung ist unbegründet. Die Vorinstanz hätte durch die auf Grund prozessleitender Entscheide getroffene Anordnung Bundesrecht nur dann verletzt, wenn der Kläger nicht in die Rechtsstellung seiner Eltern eingetreten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